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775"/>
        <w:gridCol w:w="2285"/>
        <w:gridCol w:w="2045"/>
        <w:gridCol w:w="1880"/>
        <w:gridCol w:w="1790"/>
        <w:tblGridChange w:id="0">
          <w:tblGrid>
            <w:gridCol w:w="1775"/>
            <w:gridCol w:w="2285"/>
            <w:gridCol w:w="2045"/>
            <w:gridCol w:w="1880"/>
            <w:gridCol w:w="1790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Category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Exemplary (4 pts)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Proficient (3 pts)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Developing (2 pts)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Beginning (1 pt)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Content Accuracy &amp; Evidence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Demonstrates deep understanding of school lunch politics, economics, and health; uses multiple credible sources (Pulitzer Center, cost-benefit analysis, research).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Accurate understanding with at least one strong reference to class resources or data.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Includes some relevant information but lacks clear evidence or misrepresents content.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Vague, inaccurate, or shows little connection to lesson content.</w:t>
            </w:r>
          </w:p>
        </w:tc>
      </w:tr>
      <w:tr>
        <w:trPr>
          <w:cantSplit w:val="0"/>
          <w:trHeight w:val="21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Message &amp; Clarity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Clear, compelling message with strong call to action; communicates urgency and relevance to target audience.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Understandable message with some call to action.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Somewhat unclear or weakly connected to audience.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Confusing or absent message.</w:t>
            </w:r>
          </w:p>
        </w:tc>
      </w:tr>
      <w:tr>
        <w:trPr>
          <w:cantSplit w:val="0"/>
          <w:trHeight w:val="18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Creativity &amp; Engagement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Highly engaging (creative visuals, sound, storytelling, or survey design) that captures audience attention.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Some engaging strategies used.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Limited engagement; may feel generic.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Flat, uninspired, or disengaging.</w:t>
            </w:r>
          </w:p>
        </w:tc>
      </w:tr>
      <w:tr>
        <w:trPr>
          <w:cantSplit w:val="0"/>
          <w:trHeight w:val="2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Civic Connection &amp; Advocacy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Strongly addresses civic issues (equity, inclusion, governance, or policy); identifies stakeholders and shows pathways to change.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Addresses at least one civic dimension or stakeholder group.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Mentions civic/political issues vaguely.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No civic or political connection evident.</w:t>
            </w:r>
          </w:p>
        </w:tc>
      </w:tr>
      <w:tr>
        <w:trPr>
          <w:cantSplit w:val="0"/>
          <w:trHeight w:val="24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b w:val="1"/>
                <w:bCs w:val="1"/>
                <w:rtl w:val="0"/>
              </w:rPr>
              <w:t xml:space="preserve">Collaboration &amp; Presentation Quality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Seamless collaboration; polished, well-organized, professional product (clear video/audio quality or survey structure).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Good collaboration with minor issues; mostly clear and organized.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Collaboration or organization issues; incomplete product.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Lato" w:cs="Lato" w:eastAsia="Lato" w:hAnsi="Lato"/>
              </w:rPr>
            </w:pPr>
            <w:r w:rsidDel="00000000" w:rsidR="00000000" w:rsidRPr="00000000">
              <w:rPr>
                <w:rFonts w:ascii="Lato" w:cs="Lato" w:eastAsia="Lato" w:hAnsi="Lato"/>
                <w:rtl w:val="0"/>
              </w:rPr>
              <w:t xml:space="preserve">Minimal collaboration; disorganized or incomplete.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72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line="276" w:lineRule="auto"/>
      <w:rPr>
        <w:rFonts w:ascii="Lato" w:cs="Lato" w:eastAsia="Lato" w:hAnsi="Lato"/>
        <w:b w:val="1"/>
        <w:bCs w:val="1"/>
        <w:color w:val="666666"/>
      </w:rPr>
    </w:pPr>
    <w:r w:rsidDel="00000000" w:rsidR="00000000" w:rsidRPr="00000000">
      <w:rPr>
        <w:rFonts w:ascii="Lato" w:cs="Lato" w:eastAsia="Lato" w:hAnsi="Lato"/>
        <w:b w:val="1"/>
        <w:bCs w:val="1"/>
        <w:color w:val="666666"/>
        <w:rtl w:val="0"/>
      </w:rPr>
      <w:t xml:space="preserve">The Health and Politics of School Lunch</w:t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4410075</wp:posOffset>
          </wp:positionH>
          <wp:positionV relativeFrom="paragraph">
            <wp:posOffset>-123824</wp:posOffset>
          </wp:positionV>
          <wp:extent cx="2043113" cy="264848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43113" cy="26484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spacing w:after="200" w:line="276" w:lineRule="auto"/>
      <w:rPr/>
    </w:pPr>
    <w:r w:rsidDel="00000000" w:rsidR="00000000" w:rsidRPr="00000000">
      <w:rPr>
        <w:rFonts w:ascii="Lato" w:cs="Lato" w:eastAsia="Lato" w:hAnsi="Lato"/>
        <w:color w:val="666666"/>
        <w:rtl w:val="0"/>
      </w:rPr>
      <w:t xml:space="preserve">Lesson by Patrick Sprinkle, part of the Fall 2024 Pulitzer Center Teacher Fellowship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